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0E1E" w14:textId="77777777" w:rsidR="00BB426D" w:rsidRPr="00BB426D" w:rsidRDefault="00BB426D" w:rsidP="00BB426D">
      <w:pPr>
        <w:rPr>
          <w:color w:val="222A35" w:themeColor="text2" w:themeShade="80"/>
          <w:sz w:val="40"/>
          <w:szCs w:val="40"/>
        </w:rPr>
      </w:pPr>
      <w:r w:rsidRPr="00BB426D">
        <w:rPr>
          <w:color w:val="222A35" w:themeColor="text2" w:themeShade="80"/>
          <w:sz w:val="40"/>
          <w:szCs w:val="40"/>
        </w:rPr>
        <w:t>Restaurant Revitalization Fund</w:t>
      </w:r>
    </w:p>
    <w:p w14:paraId="14487CAE" w14:textId="77777777" w:rsidR="00BB426D" w:rsidRPr="00BB426D" w:rsidRDefault="00BB426D" w:rsidP="00BB426D">
      <w:pPr>
        <w:rPr>
          <w:rFonts w:ascii="Georgia" w:hAnsi="Georgia"/>
          <w:i/>
          <w:iCs/>
          <w:color w:val="222A35" w:themeColor="text2" w:themeShade="80"/>
          <w:spacing w:val="-5"/>
        </w:rPr>
      </w:pPr>
      <w:r w:rsidRPr="00BB426D">
        <w:rPr>
          <w:rFonts w:ascii="Georgia" w:hAnsi="Georgia"/>
          <w:i/>
          <w:iCs/>
          <w:color w:val="222A35" w:themeColor="text2" w:themeShade="80"/>
          <w:spacing w:val="-5"/>
        </w:rPr>
        <w:t>This program provides emergency assistance for eligible restaurants, bars, and other qualifying businesses impacted by COVID-19.</w:t>
      </w:r>
    </w:p>
    <w:p w14:paraId="3BE3D948" w14:textId="77777777" w:rsidR="00BB426D" w:rsidRPr="00BB426D" w:rsidRDefault="00BB426D" w:rsidP="00BB426D">
      <w:pPr>
        <w:rPr>
          <w:rFonts w:ascii="Source Sans Pro" w:hAnsi="Source Sans Pro"/>
          <w:color w:val="222A35" w:themeColor="text2" w:themeShade="80"/>
          <w:spacing w:val="-6"/>
        </w:rPr>
      </w:pPr>
    </w:p>
    <w:p w14:paraId="2F13703B" w14:textId="77777777" w:rsidR="00BB426D" w:rsidRPr="00BB426D" w:rsidRDefault="00BB426D" w:rsidP="00BB426D">
      <w:p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Registration for the SBA application portal will begin on Friday, April 30, 2021, at 9 am ET. Applications will open on Monday, May 3, 2021, at noon ET. See</w:t>
      </w:r>
      <w:r w:rsidRPr="00BB426D">
        <w:rPr>
          <w:rStyle w:val="apple-converted-space"/>
          <w:rFonts w:ascii="Source Sans Pro" w:hAnsi="Source Sans Pro"/>
          <w:color w:val="222A35" w:themeColor="text2" w:themeShade="80"/>
          <w:spacing w:val="-6"/>
        </w:rPr>
        <w:t> </w:t>
      </w:r>
      <w:hyperlink r:id="rId5" w:anchor="section-header-8" w:history="1">
        <w:r w:rsidRPr="00BB426D">
          <w:rPr>
            <w:rStyle w:val="Hyperlink"/>
            <w:rFonts w:ascii="Source Sans Pro" w:hAnsi="Source Sans Pro"/>
            <w:color w:val="222A35" w:themeColor="text2" w:themeShade="80"/>
            <w:spacing w:val="-6"/>
          </w:rPr>
          <w:t>How to apply</w:t>
        </w:r>
      </w:hyperlink>
      <w:r w:rsidRPr="00BB426D">
        <w:rPr>
          <w:rStyle w:val="apple-converted-space"/>
          <w:rFonts w:ascii="Source Sans Pro" w:hAnsi="Source Sans Pro"/>
          <w:color w:val="222A35" w:themeColor="text2" w:themeShade="80"/>
          <w:spacing w:val="-6"/>
        </w:rPr>
        <w:t> </w:t>
      </w:r>
      <w:r w:rsidRPr="00BB426D">
        <w:rPr>
          <w:rFonts w:ascii="Source Sans Pro" w:hAnsi="Source Sans Pro"/>
          <w:color w:val="222A35" w:themeColor="text2" w:themeShade="80"/>
          <w:spacing w:val="-6"/>
        </w:rPr>
        <w:t>for more detail.</w:t>
      </w:r>
    </w:p>
    <w:p w14:paraId="17C54F71" w14:textId="77777777" w:rsidR="00BB426D" w:rsidRPr="00BB426D" w:rsidRDefault="00BB426D" w:rsidP="00BB426D">
      <w:pPr>
        <w:rPr>
          <w:rFonts w:ascii="Source Sans Pro" w:hAnsi="Source Sans Pro"/>
          <w:b/>
          <w:bCs/>
          <w:color w:val="222A35" w:themeColor="text2" w:themeShade="80"/>
        </w:rPr>
      </w:pPr>
    </w:p>
    <w:p w14:paraId="07856AE3" w14:textId="77777777" w:rsidR="00BB426D" w:rsidRPr="00BB426D" w:rsidRDefault="00BB426D" w:rsidP="00BB426D">
      <w:pPr>
        <w:rPr>
          <w:rFonts w:ascii="Source Sans Pro" w:hAnsi="Source Sans Pro"/>
          <w:color w:val="222A35" w:themeColor="text2" w:themeShade="80"/>
        </w:rPr>
      </w:pPr>
      <w:r w:rsidRPr="00BB426D">
        <w:rPr>
          <w:rFonts w:ascii="Source Sans Pro" w:hAnsi="Source Sans Pro"/>
          <w:b/>
          <w:bCs/>
          <w:color w:val="222A35" w:themeColor="text2" w:themeShade="80"/>
        </w:rPr>
        <w:t>Program details</w:t>
      </w:r>
    </w:p>
    <w:p w14:paraId="246228DC" w14:textId="77777777" w:rsidR="00BB426D" w:rsidRPr="00BB426D" w:rsidRDefault="00BB426D" w:rsidP="00BB426D">
      <w:p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The American Rescue Plan Act established the Restaurant Revitalization Fund (RRF) to provide funding to help restaurants and other eligible businesses keep their doors open. This program will provide restaurants with funding equal to their pandemic-related revenue loss up to $10 million per business and no more than $5 million per physical location. Recipients are not required to repay the funding as long as funds are used for eligible uses no later than March 11, 2023.</w:t>
      </w:r>
    </w:p>
    <w:p w14:paraId="64C641B5" w14:textId="77777777" w:rsidR="00BB426D" w:rsidRPr="00BB426D" w:rsidRDefault="00BB426D" w:rsidP="00BB426D">
      <w:pPr>
        <w:rPr>
          <w:rFonts w:ascii="Source Sans Pro" w:hAnsi="Source Sans Pro"/>
          <w:b/>
          <w:bCs/>
          <w:color w:val="222A35" w:themeColor="text2" w:themeShade="80"/>
        </w:rPr>
      </w:pPr>
    </w:p>
    <w:p w14:paraId="24D3A907" w14:textId="77777777" w:rsidR="00BB426D" w:rsidRPr="00BB426D" w:rsidRDefault="00BB426D" w:rsidP="00BB426D">
      <w:pPr>
        <w:rPr>
          <w:rFonts w:ascii="Source Sans Pro" w:hAnsi="Source Sans Pro"/>
          <w:color w:val="222A35" w:themeColor="text2" w:themeShade="80"/>
        </w:rPr>
      </w:pPr>
      <w:r w:rsidRPr="00BB426D">
        <w:rPr>
          <w:rFonts w:ascii="Source Sans Pro" w:hAnsi="Source Sans Pro"/>
          <w:b/>
          <w:bCs/>
          <w:color w:val="222A35" w:themeColor="text2" w:themeShade="80"/>
        </w:rPr>
        <w:t>Who can apply</w:t>
      </w:r>
    </w:p>
    <w:p w14:paraId="67083713"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Eligible entities who have experienced pandemic-related revenue loss include:</w:t>
      </w:r>
    </w:p>
    <w:p w14:paraId="4135C352"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Restaurants</w:t>
      </w:r>
    </w:p>
    <w:p w14:paraId="4692FE73"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Food stands, food trucks, food carts</w:t>
      </w:r>
    </w:p>
    <w:p w14:paraId="10385D91"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Caterers</w:t>
      </w:r>
    </w:p>
    <w:p w14:paraId="5D6A4AB5"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Bars, saloons, lounges, taverns</w:t>
      </w:r>
    </w:p>
    <w:p w14:paraId="51C0E316"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Snack and nonalcoholic beverage bars</w:t>
      </w:r>
    </w:p>
    <w:p w14:paraId="6FD49AF5"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Bakeries (onsite sales to the public comprise at least 33% of gross receipts)</w:t>
      </w:r>
    </w:p>
    <w:p w14:paraId="4A498C49"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Brewpubs, tasting rooms, taprooms (onsite sales to the public comprise at least 33% of gross receipts)</w:t>
      </w:r>
    </w:p>
    <w:p w14:paraId="029799ED"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Breweries and/or microbreweries (onsite sales to the public comprise at least 33% of gross receipts)</w:t>
      </w:r>
    </w:p>
    <w:p w14:paraId="0CF8BE91"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Wineries and distilleries (onsite sales to the public comprise at least 33% of gross receipts)</w:t>
      </w:r>
    </w:p>
    <w:p w14:paraId="3DB36D43"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Inns (onsite sales of food and beverage to the public comprise at least 33% of gross receipts)</w:t>
      </w:r>
    </w:p>
    <w:p w14:paraId="277370BC" w14:textId="77777777" w:rsidR="00BB426D" w:rsidRPr="00BB426D" w:rsidRDefault="00BB426D" w:rsidP="00BB426D">
      <w:pPr>
        <w:pStyle w:val="ListParagraph"/>
        <w:numPr>
          <w:ilvl w:val="0"/>
          <w:numId w:val="5"/>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Licensed facilities or premises of a beverage alcohol producer where the public may taste, sample, or purchase products</w:t>
      </w:r>
    </w:p>
    <w:p w14:paraId="12B898D8" w14:textId="77777777" w:rsidR="00BB426D" w:rsidRPr="00BB426D" w:rsidRDefault="00BB426D" w:rsidP="00BB426D">
      <w:pPr>
        <w:rPr>
          <w:rFonts w:ascii="Source Sans Pro" w:hAnsi="Source Sans Pro"/>
          <w:b/>
          <w:bCs/>
          <w:color w:val="222A35" w:themeColor="text2" w:themeShade="80"/>
        </w:rPr>
      </w:pPr>
    </w:p>
    <w:p w14:paraId="4ECC40F4" w14:textId="77777777" w:rsidR="00BB426D" w:rsidRPr="00BB426D" w:rsidRDefault="00BB426D" w:rsidP="00BB426D">
      <w:pPr>
        <w:rPr>
          <w:rFonts w:ascii="Source Sans Pro" w:hAnsi="Source Sans Pro"/>
          <w:color w:val="222A35" w:themeColor="text2" w:themeShade="80"/>
          <w:spacing w:val="-6"/>
        </w:rPr>
      </w:pPr>
      <w:r w:rsidRPr="00BB426D">
        <w:rPr>
          <w:rStyle w:val="Strong"/>
          <w:rFonts w:ascii="Source Sans Pro" w:hAnsi="Source Sans Pro"/>
          <w:color w:val="222A35" w:themeColor="text2" w:themeShade="80"/>
          <w:spacing w:val="-6"/>
        </w:rPr>
        <w:t>Priority groups</w:t>
      </w:r>
    </w:p>
    <w:p w14:paraId="0CE4AA1C" w14:textId="77777777" w:rsidR="00BB426D" w:rsidRPr="00BB426D" w:rsidRDefault="00BB426D" w:rsidP="00BB426D">
      <w:p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A small business concern that is at least 51 percent owned</w:t>
      </w:r>
      <w:r w:rsidRPr="00BB426D">
        <w:rPr>
          <w:rStyle w:val="apple-converted-space"/>
          <w:rFonts w:ascii="Source Sans Pro" w:hAnsi="Source Sans Pro"/>
          <w:b/>
          <w:bCs/>
          <w:color w:val="222A35" w:themeColor="text2" w:themeShade="80"/>
          <w:spacing w:val="-6"/>
        </w:rPr>
        <w:t> </w:t>
      </w:r>
      <w:r w:rsidRPr="00BB426D">
        <w:rPr>
          <w:rFonts w:ascii="Source Sans Pro" w:hAnsi="Source Sans Pro"/>
          <w:color w:val="222A35" w:themeColor="text2" w:themeShade="80"/>
          <w:spacing w:val="-6"/>
        </w:rPr>
        <w:t>by one or more individuals who are</w:t>
      </w:r>
      <w:r w:rsidRPr="00BB426D">
        <w:rPr>
          <w:rStyle w:val="Strong"/>
          <w:rFonts w:ascii="Source Sans Pro" w:hAnsi="Source Sans Pro"/>
          <w:color w:val="222A35" w:themeColor="text2" w:themeShade="80"/>
          <w:spacing w:val="-6"/>
        </w:rPr>
        <w:t>:</w:t>
      </w:r>
      <w:r w:rsidRPr="00BB426D">
        <w:rPr>
          <w:rStyle w:val="apple-converted-space"/>
          <w:rFonts w:ascii="Source Sans Pro" w:hAnsi="Source Sans Pro"/>
          <w:b/>
          <w:bCs/>
          <w:color w:val="222A35" w:themeColor="text2" w:themeShade="80"/>
          <w:spacing w:val="-6"/>
        </w:rPr>
        <w:t> </w:t>
      </w:r>
    </w:p>
    <w:p w14:paraId="3B5EA301" w14:textId="77777777" w:rsidR="00BB426D" w:rsidRPr="00BB426D" w:rsidRDefault="00BB426D" w:rsidP="00BB426D">
      <w:pPr>
        <w:pStyle w:val="ListParagraph"/>
        <w:numPr>
          <w:ilvl w:val="0"/>
          <w:numId w:val="6"/>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Women, or</w:t>
      </w:r>
    </w:p>
    <w:p w14:paraId="38A024FF" w14:textId="77777777" w:rsidR="00BB426D" w:rsidRPr="00BB426D" w:rsidRDefault="00BB426D" w:rsidP="00BB426D">
      <w:pPr>
        <w:pStyle w:val="ListParagraph"/>
        <w:numPr>
          <w:ilvl w:val="0"/>
          <w:numId w:val="6"/>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Veterans, or</w:t>
      </w:r>
    </w:p>
    <w:p w14:paraId="72B816FC" w14:textId="77777777" w:rsidR="00BB426D" w:rsidRPr="00BB426D" w:rsidRDefault="00BB426D" w:rsidP="00BB426D">
      <w:pPr>
        <w:pStyle w:val="ListParagraph"/>
        <w:numPr>
          <w:ilvl w:val="0"/>
          <w:numId w:val="6"/>
        </w:num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Socially and economically disadvantaged (see below).</w:t>
      </w:r>
    </w:p>
    <w:p w14:paraId="1B56C546" w14:textId="77777777" w:rsidR="00BB426D" w:rsidRPr="00BB426D" w:rsidRDefault="00BB426D" w:rsidP="00BB426D">
      <w:p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Applicants must self-certify on the application that they meet eligibility requirements</w:t>
      </w:r>
    </w:p>
    <w:p w14:paraId="6ADACE7E" w14:textId="77777777" w:rsidR="00BB426D" w:rsidRPr="00BB426D" w:rsidRDefault="00BB426D" w:rsidP="00BB426D">
      <w:pPr>
        <w:rPr>
          <w:rStyle w:val="Strong"/>
          <w:rFonts w:ascii="Source Sans Pro" w:hAnsi="Source Sans Pro"/>
          <w:color w:val="222A35" w:themeColor="text2" w:themeShade="80"/>
          <w:spacing w:val="-6"/>
        </w:rPr>
      </w:pPr>
    </w:p>
    <w:p w14:paraId="67309D39" w14:textId="77777777" w:rsidR="00BB426D" w:rsidRPr="00BB426D" w:rsidRDefault="00BB426D" w:rsidP="00BB426D">
      <w:pPr>
        <w:rPr>
          <w:rFonts w:ascii="Source Sans Pro" w:hAnsi="Source Sans Pro"/>
          <w:color w:val="222A35" w:themeColor="text2" w:themeShade="80"/>
          <w:spacing w:val="-6"/>
        </w:rPr>
      </w:pPr>
      <w:r w:rsidRPr="00BB426D">
        <w:rPr>
          <w:rStyle w:val="Strong"/>
          <w:rFonts w:ascii="Source Sans Pro" w:hAnsi="Source Sans Pro"/>
          <w:color w:val="222A35" w:themeColor="text2" w:themeShade="80"/>
          <w:spacing w:val="-6"/>
        </w:rPr>
        <w:t>Socially disadvantaged individuals</w:t>
      </w:r>
      <w:r w:rsidRPr="00BB426D">
        <w:rPr>
          <w:rStyle w:val="apple-converted-space"/>
          <w:rFonts w:ascii="Source Sans Pro" w:hAnsi="Source Sans Pro"/>
          <w:b/>
          <w:bCs/>
          <w:color w:val="222A35" w:themeColor="text2" w:themeShade="80"/>
          <w:spacing w:val="-6"/>
        </w:rPr>
        <w:t> </w:t>
      </w:r>
      <w:r w:rsidRPr="00BB426D">
        <w:rPr>
          <w:rFonts w:ascii="Source Sans Pro" w:hAnsi="Source Sans Pro"/>
          <w:color w:val="222A35" w:themeColor="text2" w:themeShade="80"/>
          <w:spacing w:val="-6"/>
        </w:rPr>
        <w:t>are those who have been subjected to racial or ethnic prejudice or cultural bias because of their identity as a member of a group without regard to their individual qualities.</w:t>
      </w:r>
    </w:p>
    <w:p w14:paraId="4F0C91D0" w14:textId="77777777" w:rsidR="00BB426D" w:rsidRPr="00BB426D" w:rsidRDefault="00BB426D" w:rsidP="00BB426D">
      <w:pPr>
        <w:rPr>
          <w:rStyle w:val="Strong"/>
          <w:rFonts w:ascii="Source Sans Pro" w:hAnsi="Source Sans Pro"/>
          <w:color w:val="222A35" w:themeColor="text2" w:themeShade="80"/>
          <w:spacing w:val="-6"/>
        </w:rPr>
      </w:pPr>
    </w:p>
    <w:p w14:paraId="3042A6F0" w14:textId="77777777" w:rsidR="00BB426D" w:rsidRPr="00BB426D" w:rsidRDefault="00BB426D" w:rsidP="00BB426D">
      <w:pPr>
        <w:rPr>
          <w:rFonts w:ascii="Source Sans Pro" w:hAnsi="Source Sans Pro"/>
          <w:color w:val="222A35" w:themeColor="text2" w:themeShade="80"/>
          <w:spacing w:val="-6"/>
        </w:rPr>
      </w:pPr>
      <w:r w:rsidRPr="00BB426D">
        <w:rPr>
          <w:rStyle w:val="Strong"/>
          <w:rFonts w:ascii="Source Sans Pro" w:hAnsi="Source Sans Pro"/>
          <w:color w:val="222A35" w:themeColor="text2" w:themeShade="80"/>
          <w:spacing w:val="-6"/>
        </w:rPr>
        <w:lastRenderedPageBreak/>
        <w:t>Economically disadvantaged individuals</w:t>
      </w:r>
      <w:r w:rsidRPr="00BB426D">
        <w:rPr>
          <w:rStyle w:val="apple-converted-space"/>
          <w:rFonts w:ascii="Source Sans Pro" w:hAnsi="Source Sans Pro"/>
          <w:color w:val="222A35" w:themeColor="text2" w:themeShade="80"/>
          <w:spacing w:val="-6"/>
        </w:rPr>
        <w:t> </w:t>
      </w:r>
      <w:r w:rsidRPr="00BB426D">
        <w:rPr>
          <w:rFonts w:ascii="Source Sans Pro" w:hAnsi="Source Sans Pro"/>
          <w:color w:val="222A35" w:themeColor="text2" w:themeShade="80"/>
          <w:spacing w:val="-6"/>
        </w:rPr>
        <w:t>are those socially disadvantaged individuals whose ability to compete in the free enterprise system has been impaired due to diminished capital and credit opportunities as compared to others in the same business area who are not socially disadvantaged.</w:t>
      </w:r>
    </w:p>
    <w:p w14:paraId="080B1EE1" w14:textId="77777777" w:rsidR="00BB426D" w:rsidRPr="00BB426D" w:rsidRDefault="00BB426D" w:rsidP="00BB426D">
      <w:pPr>
        <w:rPr>
          <w:rFonts w:ascii="Source Sans Pro" w:hAnsi="Source Sans Pro"/>
          <w:b/>
          <w:bCs/>
          <w:color w:val="222A35" w:themeColor="text2" w:themeShade="80"/>
        </w:rPr>
      </w:pPr>
    </w:p>
    <w:p w14:paraId="2DAC617A" w14:textId="77777777" w:rsidR="00BB426D" w:rsidRPr="00BB426D" w:rsidRDefault="00BB426D" w:rsidP="00BB426D">
      <w:pPr>
        <w:rPr>
          <w:rFonts w:ascii="Source Sans Pro" w:hAnsi="Source Sans Pro"/>
          <w:color w:val="222A35" w:themeColor="text2" w:themeShade="80"/>
        </w:rPr>
      </w:pPr>
      <w:r w:rsidRPr="00BB426D">
        <w:rPr>
          <w:rFonts w:ascii="Source Sans Pro" w:hAnsi="Source Sans Pro"/>
          <w:b/>
          <w:bCs/>
          <w:color w:val="222A35" w:themeColor="text2" w:themeShade="80"/>
        </w:rPr>
        <w:t>When to apply</w:t>
      </w:r>
    </w:p>
    <w:p w14:paraId="49244097" w14:textId="77777777" w:rsidR="00BB426D" w:rsidRPr="00BB426D" w:rsidRDefault="00BB426D" w:rsidP="00BB426D">
      <w:pPr>
        <w:rPr>
          <w:rFonts w:ascii="Source Sans Pro" w:hAnsi="Source Sans Pro"/>
          <w:color w:val="222A35" w:themeColor="text2" w:themeShade="80"/>
          <w:spacing w:val="-6"/>
        </w:rPr>
      </w:pPr>
      <w:r w:rsidRPr="00BB426D">
        <w:rPr>
          <w:rFonts w:ascii="Source Sans Pro" w:hAnsi="Source Sans Pro"/>
          <w:color w:val="222A35" w:themeColor="text2" w:themeShade="80"/>
          <w:spacing w:val="-6"/>
        </w:rPr>
        <w:t>Registration for the SBA application portal will begin on Friday, April 30, 2021, at 9 am ET. Applications will open on Monday, May 3, 2021, at noon ET.</w:t>
      </w:r>
    </w:p>
    <w:tbl>
      <w:tblPr>
        <w:tblW w:w="13970" w:type="dxa"/>
        <w:tblCellMar>
          <w:top w:w="15" w:type="dxa"/>
          <w:left w:w="15" w:type="dxa"/>
          <w:bottom w:w="15" w:type="dxa"/>
          <w:right w:w="15" w:type="dxa"/>
        </w:tblCellMar>
        <w:tblLook w:val="04A0" w:firstRow="1" w:lastRow="0" w:firstColumn="1" w:lastColumn="0" w:noHBand="0" w:noVBand="1"/>
      </w:tblPr>
      <w:tblGrid>
        <w:gridCol w:w="2101"/>
        <w:gridCol w:w="11869"/>
      </w:tblGrid>
      <w:tr w:rsidR="00BB426D" w:rsidRPr="00BB426D" w14:paraId="3BB0B35A" w14:textId="77777777" w:rsidTr="00BB426D">
        <w:tc>
          <w:tcPr>
            <w:tcW w:w="0" w:type="auto"/>
            <w:tcBorders>
              <w:top w:val="nil"/>
              <w:left w:val="nil"/>
              <w:bottom w:val="nil"/>
              <w:right w:val="nil"/>
            </w:tcBorders>
            <w:tcMar>
              <w:top w:w="15" w:type="dxa"/>
              <w:left w:w="225" w:type="dxa"/>
              <w:bottom w:w="15" w:type="dxa"/>
              <w:right w:w="225" w:type="dxa"/>
            </w:tcMar>
            <w:vAlign w:val="center"/>
            <w:hideMark/>
          </w:tcPr>
          <w:p w14:paraId="0ECEAE56" w14:textId="77777777" w:rsidR="00BB426D" w:rsidRPr="00BB426D" w:rsidRDefault="00BB426D" w:rsidP="00BB426D">
            <w:pPr>
              <w:rPr>
                <w:rStyle w:val="Strong"/>
                <w:color w:val="222A35" w:themeColor="text2" w:themeShade="80"/>
              </w:rPr>
            </w:pPr>
          </w:p>
          <w:p w14:paraId="2A02C5AD" w14:textId="77777777" w:rsidR="00BB426D" w:rsidRPr="00BB426D" w:rsidRDefault="00BB426D" w:rsidP="00BB426D">
            <w:pPr>
              <w:rPr>
                <w:rStyle w:val="Strong"/>
                <w:color w:val="222A35" w:themeColor="text2" w:themeShade="80"/>
              </w:rPr>
            </w:pPr>
          </w:p>
          <w:p w14:paraId="47664CAC" w14:textId="77777777" w:rsidR="00BB426D" w:rsidRPr="00BB426D" w:rsidRDefault="00BB426D" w:rsidP="00BB426D">
            <w:pPr>
              <w:rPr>
                <w:rStyle w:val="Strong"/>
                <w:color w:val="222A35" w:themeColor="text2" w:themeShade="80"/>
              </w:rPr>
            </w:pPr>
          </w:p>
          <w:p w14:paraId="3A983F9F" w14:textId="77777777" w:rsidR="00BB426D" w:rsidRPr="00BB426D" w:rsidRDefault="00BB426D" w:rsidP="00BB426D">
            <w:pPr>
              <w:rPr>
                <w:rFonts w:ascii="Times New Roman" w:hAnsi="Times New Roman"/>
                <w:color w:val="222A35" w:themeColor="text2" w:themeShade="80"/>
              </w:rPr>
            </w:pPr>
            <w:r w:rsidRPr="00BB426D">
              <w:rPr>
                <w:rStyle w:val="Strong"/>
                <w:color w:val="222A35" w:themeColor="text2" w:themeShade="80"/>
              </w:rPr>
              <w:t>Priority period</w:t>
            </w:r>
          </w:p>
          <w:p w14:paraId="7DCD8821" w14:textId="77777777" w:rsidR="00BB426D" w:rsidRPr="00BB426D" w:rsidRDefault="00BB426D" w:rsidP="00BB426D">
            <w:pPr>
              <w:rPr>
                <w:color w:val="222A35" w:themeColor="text2" w:themeShade="80"/>
              </w:rPr>
            </w:pPr>
            <w:r w:rsidRPr="00BB426D">
              <w:rPr>
                <w:rStyle w:val="Emphasis"/>
                <w:color w:val="222A35" w:themeColor="text2" w:themeShade="80"/>
              </w:rPr>
              <w:t>Days 1 through 21</w:t>
            </w:r>
          </w:p>
        </w:tc>
        <w:tc>
          <w:tcPr>
            <w:tcW w:w="0" w:type="auto"/>
            <w:tcBorders>
              <w:top w:val="nil"/>
              <w:left w:val="nil"/>
              <w:bottom w:val="nil"/>
              <w:right w:val="nil"/>
            </w:tcBorders>
            <w:tcMar>
              <w:top w:w="15" w:type="dxa"/>
              <w:left w:w="225" w:type="dxa"/>
              <w:bottom w:w="15" w:type="dxa"/>
              <w:right w:w="225" w:type="dxa"/>
            </w:tcMar>
            <w:vAlign w:val="center"/>
            <w:hideMark/>
          </w:tcPr>
          <w:p w14:paraId="50EC643B" w14:textId="77777777" w:rsidR="00BB426D" w:rsidRPr="00BB426D" w:rsidRDefault="00BB426D" w:rsidP="00BB426D">
            <w:pPr>
              <w:ind w:right="4474"/>
              <w:rPr>
                <w:color w:val="222A35" w:themeColor="text2" w:themeShade="80"/>
              </w:rPr>
            </w:pPr>
            <w:r w:rsidRPr="00BB426D">
              <w:rPr>
                <w:color w:val="222A35" w:themeColor="text2" w:themeShade="80"/>
              </w:rPr>
              <w:t>SBA will accept applications from all eligible applicants, but only process and fund priority group applications. See “Priority groups” below.</w:t>
            </w:r>
          </w:p>
          <w:p w14:paraId="17CE0A38" w14:textId="77777777" w:rsidR="00BB426D" w:rsidRPr="00BB426D" w:rsidRDefault="00BB426D" w:rsidP="00BB426D">
            <w:pPr>
              <w:ind w:right="4474"/>
              <w:rPr>
                <w:color w:val="222A35" w:themeColor="text2" w:themeShade="80"/>
              </w:rPr>
            </w:pPr>
          </w:p>
          <w:p w14:paraId="566AD791" w14:textId="77777777" w:rsidR="00BB426D" w:rsidRPr="00BB426D" w:rsidRDefault="00BB426D" w:rsidP="00BB426D">
            <w:pPr>
              <w:ind w:right="4474"/>
              <w:rPr>
                <w:color w:val="222A35" w:themeColor="text2" w:themeShade="80"/>
              </w:rPr>
            </w:pPr>
            <w:r w:rsidRPr="00BB426D">
              <w:rPr>
                <w:color w:val="222A35" w:themeColor="text2" w:themeShade="80"/>
              </w:rPr>
              <w:t>During this period, SBA will fund applications where the applicant has self-certified that it meets the eligibility requirements for a small business owned by women, veterans, or socially and economically disadvantaged individuals. </w:t>
            </w:r>
          </w:p>
          <w:p w14:paraId="5BDCAB9E" w14:textId="77777777" w:rsidR="00BB426D" w:rsidRPr="00BB426D" w:rsidRDefault="00BB426D" w:rsidP="00BB426D">
            <w:pPr>
              <w:ind w:right="4474"/>
              <w:rPr>
                <w:color w:val="222A35" w:themeColor="text2" w:themeShade="80"/>
              </w:rPr>
            </w:pPr>
            <w:r w:rsidRPr="00BB426D">
              <w:rPr>
                <w:color w:val="222A35" w:themeColor="text2" w:themeShade="80"/>
              </w:rPr>
              <w:t>See “Set asides” below.</w:t>
            </w:r>
          </w:p>
        </w:tc>
      </w:tr>
      <w:tr w:rsidR="00BB426D" w:rsidRPr="00BB426D" w14:paraId="24052F3C" w14:textId="77777777" w:rsidTr="00BB426D">
        <w:tc>
          <w:tcPr>
            <w:tcW w:w="0" w:type="auto"/>
            <w:tcBorders>
              <w:top w:val="nil"/>
              <w:left w:val="nil"/>
              <w:bottom w:val="nil"/>
              <w:right w:val="nil"/>
            </w:tcBorders>
            <w:tcMar>
              <w:top w:w="15" w:type="dxa"/>
              <w:left w:w="225" w:type="dxa"/>
              <w:bottom w:w="15" w:type="dxa"/>
              <w:right w:w="225" w:type="dxa"/>
            </w:tcMar>
            <w:vAlign w:val="center"/>
            <w:hideMark/>
          </w:tcPr>
          <w:p w14:paraId="04DD4D34" w14:textId="77777777" w:rsidR="00BB426D" w:rsidRPr="00BB426D" w:rsidRDefault="00BB426D" w:rsidP="00BB426D">
            <w:pPr>
              <w:rPr>
                <w:rStyle w:val="Strong"/>
                <w:color w:val="222A35" w:themeColor="text2" w:themeShade="80"/>
              </w:rPr>
            </w:pPr>
          </w:p>
          <w:p w14:paraId="38E77EA3" w14:textId="77777777" w:rsidR="00BB426D" w:rsidRPr="00BB426D" w:rsidRDefault="00BB426D" w:rsidP="00BB426D">
            <w:pPr>
              <w:rPr>
                <w:rStyle w:val="Strong"/>
                <w:color w:val="222A35" w:themeColor="text2" w:themeShade="80"/>
              </w:rPr>
            </w:pPr>
          </w:p>
          <w:p w14:paraId="23F1F647" w14:textId="77777777" w:rsidR="00BB426D" w:rsidRPr="00BB426D" w:rsidRDefault="00BB426D" w:rsidP="00BB426D">
            <w:pPr>
              <w:rPr>
                <w:color w:val="222A35" w:themeColor="text2" w:themeShade="80"/>
              </w:rPr>
            </w:pPr>
            <w:r w:rsidRPr="00BB426D">
              <w:rPr>
                <w:rStyle w:val="Strong"/>
                <w:color w:val="222A35" w:themeColor="text2" w:themeShade="80"/>
              </w:rPr>
              <w:t>Open to all applicants</w:t>
            </w:r>
          </w:p>
          <w:p w14:paraId="1481CB13" w14:textId="77777777" w:rsidR="00BB426D" w:rsidRPr="00BB426D" w:rsidRDefault="00BB426D" w:rsidP="00BB426D">
            <w:pPr>
              <w:rPr>
                <w:color w:val="222A35" w:themeColor="text2" w:themeShade="80"/>
              </w:rPr>
            </w:pPr>
            <w:r w:rsidRPr="00BB426D">
              <w:rPr>
                <w:rStyle w:val="Emphasis"/>
                <w:color w:val="222A35" w:themeColor="text2" w:themeShade="80"/>
              </w:rPr>
              <w:t>Days 22 through funds exhaustion</w:t>
            </w:r>
          </w:p>
        </w:tc>
        <w:tc>
          <w:tcPr>
            <w:tcW w:w="0" w:type="auto"/>
            <w:tcBorders>
              <w:top w:val="nil"/>
              <w:left w:val="nil"/>
              <w:bottom w:val="nil"/>
              <w:right w:val="nil"/>
            </w:tcBorders>
            <w:tcMar>
              <w:top w:w="15" w:type="dxa"/>
              <w:left w:w="225" w:type="dxa"/>
              <w:bottom w:w="15" w:type="dxa"/>
              <w:right w:w="225" w:type="dxa"/>
            </w:tcMar>
            <w:vAlign w:val="center"/>
            <w:hideMark/>
          </w:tcPr>
          <w:p w14:paraId="5258641B" w14:textId="77777777" w:rsidR="00BB426D" w:rsidRPr="00BB426D" w:rsidRDefault="00BB426D" w:rsidP="00BB426D">
            <w:pPr>
              <w:ind w:right="4474"/>
              <w:rPr>
                <w:color w:val="222A35" w:themeColor="text2" w:themeShade="80"/>
              </w:rPr>
            </w:pPr>
            <w:r w:rsidRPr="00BB426D">
              <w:rPr>
                <w:color w:val="222A35" w:themeColor="text2" w:themeShade="80"/>
              </w:rPr>
              <w:t>SBA will accept applications from all eligible applicants and process applications in the order in which they are approved by SBA.</w:t>
            </w:r>
          </w:p>
        </w:tc>
      </w:tr>
    </w:tbl>
    <w:p w14:paraId="75F1D8F3" w14:textId="77777777" w:rsidR="00BB426D" w:rsidRPr="00BB426D" w:rsidRDefault="00BB426D" w:rsidP="00BB426D">
      <w:pPr>
        <w:rPr>
          <w:rStyle w:val="Strong"/>
          <w:rFonts w:ascii="Source Sans Pro" w:hAnsi="Source Sans Pro"/>
          <w:color w:val="222A35" w:themeColor="text2" w:themeShade="80"/>
          <w:spacing w:val="-6"/>
        </w:rPr>
      </w:pPr>
    </w:p>
    <w:p w14:paraId="5A1CDF68" w14:textId="77777777" w:rsidR="00BB426D" w:rsidRPr="00BB426D" w:rsidRDefault="00BB426D" w:rsidP="00BB426D">
      <w:pPr>
        <w:rPr>
          <w:color w:val="222A35" w:themeColor="text2" w:themeShade="80"/>
        </w:rPr>
      </w:pPr>
      <w:r w:rsidRPr="00BB426D">
        <w:rPr>
          <w:rStyle w:val="Strong"/>
          <w:rFonts w:ascii="Source Sans Pro" w:hAnsi="Source Sans Pro"/>
          <w:color w:val="222A35" w:themeColor="text2" w:themeShade="80"/>
          <w:spacing w:val="-6"/>
          <w:sz w:val="27"/>
          <w:szCs w:val="27"/>
        </w:rPr>
        <w:t>Maximum and minimum amounts</w:t>
      </w:r>
    </w:p>
    <w:p w14:paraId="20B37FCF" w14:textId="77777777" w:rsidR="00BB426D" w:rsidRPr="00BB426D" w:rsidRDefault="00BB426D" w:rsidP="00BB426D">
      <w:pPr>
        <w:rPr>
          <w:color w:val="222A35" w:themeColor="text2" w:themeShade="80"/>
        </w:rPr>
      </w:pPr>
      <w:r w:rsidRPr="00BB426D">
        <w:rPr>
          <w:color w:val="222A35" w:themeColor="text2" w:themeShade="80"/>
        </w:rPr>
        <w:t>SBA may provide funding up to $5 million per location, not to exceed $10 million total for the applicant and any affiliated businesses. The minimum award is $1,000.</w:t>
      </w:r>
    </w:p>
    <w:p w14:paraId="213AF8AD" w14:textId="77777777" w:rsidR="00BB426D" w:rsidRPr="00BB426D" w:rsidRDefault="00BB426D" w:rsidP="00BB426D">
      <w:pPr>
        <w:rPr>
          <w:color w:val="222A35" w:themeColor="text2" w:themeShade="80"/>
        </w:rPr>
      </w:pPr>
    </w:p>
    <w:p w14:paraId="6E62BB78" w14:textId="77777777" w:rsidR="00BB426D" w:rsidRPr="00BB426D" w:rsidRDefault="00BB426D" w:rsidP="00BB426D">
      <w:pPr>
        <w:rPr>
          <w:color w:val="222A35" w:themeColor="text2" w:themeShade="80"/>
        </w:rPr>
      </w:pPr>
    </w:p>
    <w:p w14:paraId="5CBED464" w14:textId="77777777" w:rsidR="00BB426D" w:rsidRPr="00BB426D" w:rsidRDefault="00BB426D" w:rsidP="00BB426D">
      <w:pPr>
        <w:rPr>
          <w:color w:val="222A35" w:themeColor="text2" w:themeShade="80"/>
        </w:rPr>
      </w:pPr>
      <w:r w:rsidRPr="00BB426D">
        <w:rPr>
          <w:color w:val="222A35" w:themeColor="text2" w:themeShade="80"/>
        </w:rPr>
        <w:t xml:space="preserve">Note: All the information is on </w:t>
      </w:r>
      <w:hyperlink r:id="rId6" w:history="1">
        <w:r w:rsidRPr="00BB426D">
          <w:rPr>
            <w:rStyle w:val="Hyperlink"/>
            <w:color w:val="222A35" w:themeColor="text2" w:themeShade="80"/>
          </w:rPr>
          <w:t>https://www.sba.gov/funding-programs/loans/covid-19-relief-options/restaurant-revitalization-fund</w:t>
        </w:r>
      </w:hyperlink>
      <w:r w:rsidRPr="00BB426D">
        <w:rPr>
          <w:color w:val="222A35" w:themeColor="text2" w:themeShade="80"/>
        </w:rPr>
        <w:t xml:space="preserve"> and they have the information in Español as well as other languages.</w:t>
      </w:r>
    </w:p>
    <w:p w14:paraId="1FE6EC74" w14:textId="77777777" w:rsidR="00555B69" w:rsidRPr="00BB426D" w:rsidRDefault="000258F0" w:rsidP="00BB426D">
      <w:pPr>
        <w:rPr>
          <w:color w:val="222A35" w:themeColor="text2" w:themeShade="80"/>
        </w:rPr>
      </w:pPr>
    </w:p>
    <w:sectPr w:rsidR="00555B69" w:rsidRPr="00BB426D" w:rsidSect="00B3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23B"/>
    <w:multiLevelType w:val="hybridMultilevel"/>
    <w:tmpl w:val="457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F5CD5"/>
    <w:multiLevelType w:val="hybridMultilevel"/>
    <w:tmpl w:val="1F8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855A8"/>
    <w:multiLevelType w:val="multilevel"/>
    <w:tmpl w:val="C6AE9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EA672AC"/>
    <w:multiLevelType w:val="hybridMultilevel"/>
    <w:tmpl w:val="F682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53FC3"/>
    <w:multiLevelType w:val="multilevel"/>
    <w:tmpl w:val="AAEEF6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919081A"/>
    <w:multiLevelType w:val="multilevel"/>
    <w:tmpl w:val="F6DE6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6D"/>
    <w:rsid w:val="000258F0"/>
    <w:rsid w:val="00292B8F"/>
    <w:rsid w:val="00A202CB"/>
    <w:rsid w:val="00B358B1"/>
    <w:rsid w:val="00BB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84F6"/>
  <w15:chartTrackingRefBased/>
  <w15:docId w15:val="{3D88CC03-2F39-024E-92B1-1DD3C60B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42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4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B426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6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B426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BB42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B42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B426D"/>
  </w:style>
  <w:style w:type="character" w:styleId="Hyperlink">
    <w:name w:val="Hyperlink"/>
    <w:basedOn w:val="DefaultParagraphFont"/>
    <w:uiPriority w:val="99"/>
    <w:unhideWhenUsed/>
    <w:rsid w:val="00BB426D"/>
    <w:rPr>
      <w:color w:val="0000FF"/>
      <w:u w:val="single"/>
    </w:rPr>
  </w:style>
  <w:style w:type="character" w:styleId="Strong">
    <w:name w:val="Strong"/>
    <w:basedOn w:val="DefaultParagraphFont"/>
    <w:uiPriority w:val="22"/>
    <w:qFormat/>
    <w:rsid w:val="00BB426D"/>
    <w:rPr>
      <w:b/>
      <w:bCs/>
    </w:rPr>
  </w:style>
  <w:style w:type="character" w:styleId="Emphasis">
    <w:name w:val="Emphasis"/>
    <w:basedOn w:val="DefaultParagraphFont"/>
    <w:uiPriority w:val="20"/>
    <w:qFormat/>
    <w:rsid w:val="00BB426D"/>
    <w:rPr>
      <w:i/>
      <w:iCs/>
    </w:rPr>
  </w:style>
  <w:style w:type="paragraph" w:styleId="ListParagraph">
    <w:name w:val="List Paragraph"/>
    <w:basedOn w:val="Normal"/>
    <w:uiPriority w:val="34"/>
    <w:qFormat/>
    <w:rsid w:val="00BB426D"/>
    <w:pPr>
      <w:ind w:left="720"/>
      <w:contextualSpacing/>
    </w:pPr>
  </w:style>
  <w:style w:type="character" w:styleId="UnresolvedMention">
    <w:name w:val="Unresolved Mention"/>
    <w:basedOn w:val="DefaultParagraphFont"/>
    <w:uiPriority w:val="99"/>
    <w:semiHidden/>
    <w:unhideWhenUsed/>
    <w:rsid w:val="00BB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1334">
      <w:bodyDiv w:val="1"/>
      <w:marLeft w:val="0"/>
      <w:marRight w:val="0"/>
      <w:marTop w:val="0"/>
      <w:marBottom w:val="0"/>
      <w:divBdr>
        <w:top w:val="none" w:sz="0" w:space="0" w:color="auto"/>
        <w:left w:val="none" w:sz="0" w:space="0" w:color="auto"/>
        <w:bottom w:val="none" w:sz="0" w:space="0" w:color="auto"/>
        <w:right w:val="none" w:sz="0" w:space="0" w:color="auto"/>
      </w:divBdr>
      <w:divsChild>
        <w:div w:id="1174761696">
          <w:marLeft w:val="0"/>
          <w:marRight w:val="0"/>
          <w:marTop w:val="0"/>
          <w:marBottom w:val="0"/>
          <w:divBdr>
            <w:top w:val="none" w:sz="0" w:space="0" w:color="auto"/>
            <w:left w:val="none" w:sz="0" w:space="0" w:color="auto"/>
            <w:bottom w:val="none" w:sz="0" w:space="0" w:color="auto"/>
            <w:right w:val="none" w:sz="0" w:space="0" w:color="auto"/>
          </w:divBdr>
          <w:divsChild>
            <w:div w:id="1397780750">
              <w:marLeft w:val="0"/>
              <w:marRight w:val="0"/>
              <w:marTop w:val="0"/>
              <w:marBottom w:val="0"/>
              <w:divBdr>
                <w:top w:val="none" w:sz="0" w:space="0" w:color="auto"/>
                <w:left w:val="none" w:sz="0" w:space="0" w:color="auto"/>
                <w:bottom w:val="none" w:sz="0" w:space="0" w:color="auto"/>
                <w:right w:val="none" w:sz="0" w:space="0" w:color="auto"/>
              </w:divBdr>
            </w:div>
          </w:divsChild>
        </w:div>
        <w:div w:id="1657998047">
          <w:marLeft w:val="0"/>
          <w:marRight w:val="0"/>
          <w:marTop w:val="0"/>
          <w:marBottom w:val="450"/>
          <w:divBdr>
            <w:top w:val="none" w:sz="0" w:space="0" w:color="auto"/>
            <w:left w:val="none" w:sz="0" w:space="0" w:color="auto"/>
            <w:bottom w:val="none" w:sz="0" w:space="0" w:color="auto"/>
            <w:right w:val="none" w:sz="0" w:space="0" w:color="auto"/>
          </w:divBdr>
          <w:divsChild>
            <w:div w:id="1558206659">
              <w:marLeft w:val="0"/>
              <w:marRight w:val="0"/>
              <w:marTop w:val="0"/>
              <w:marBottom w:val="0"/>
              <w:divBdr>
                <w:top w:val="none" w:sz="0" w:space="0" w:color="auto"/>
                <w:left w:val="none" w:sz="0" w:space="0" w:color="auto"/>
                <w:bottom w:val="none" w:sz="0" w:space="0" w:color="auto"/>
                <w:right w:val="none" w:sz="0" w:space="0" w:color="auto"/>
              </w:divBdr>
              <w:divsChild>
                <w:div w:id="150028875">
                  <w:marLeft w:val="0"/>
                  <w:marRight w:val="0"/>
                  <w:marTop w:val="0"/>
                  <w:marBottom w:val="0"/>
                  <w:divBdr>
                    <w:top w:val="none" w:sz="0" w:space="0" w:color="auto"/>
                    <w:left w:val="none" w:sz="0" w:space="0" w:color="auto"/>
                    <w:bottom w:val="none" w:sz="0" w:space="0" w:color="auto"/>
                    <w:right w:val="none" w:sz="0" w:space="0" w:color="auto"/>
                  </w:divBdr>
                  <w:divsChild>
                    <w:div w:id="1836529509">
                      <w:marLeft w:val="0"/>
                      <w:marRight w:val="0"/>
                      <w:marTop w:val="0"/>
                      <w:marBottom w:val="0"/>
                      <w:divBdr>
                        <w:top w:val="none" w:sz="0" w:space="0" w:color="auto"/>
                        <w:left w:val="none" w:sz="0" w:space="0" w:color="auto"/>
                        <w:bottom w:val="none" w:sz="0" w:space="0" w:color="auto"/>
                        <w:right w:val="none" w:sz="0" w:space="0" w:color="auto"/>
                      </w:divBdr>
                    </w:div>
                    <w:div w:id="1191455118">
                      <w:marLeft w:val="0"/>
                      <w:marRight w:val="0"/>
                      <w:marTop w:val="0"/>
                      <w:marBottom w:val="0"/>
                      <w:divBdr>
                        <w:top w:val="none" w:sz="0" w:space="0" w:color="auto"/>
                        <w:left w:val="none" w:sz="0" w:space="0" w:color="auto"/>
                        <w:bottom w:val="none" w:sz="0" w:space="0" w:color="auto"/>
                        <w:right w:val="none" w:sz="0" w:space="0" w:color="auto"/>
                      </w:divBdr>
                    </w:div>
                    <w:div w:id="1159421615">
                      <w:marLeft w:val="0"/>
                      <w:marRight w:val="0"/>
                      <w:marTop w:val="0"/>
                      <w:marBottom w:val="0"/>
                      <w:divBdr>
                        <w:top w:val="none" w:sz="0" w:space="0" w:color="auto"/>
                        <w:left w:val="none" w:sz="0" w:space="0" w:color="auto"/>
                        <w:bottom w:val="none" w:sz="0" w:space="0" w:color="auto"/>
                        <w:right w:val="none" w:sz="0" w:space="0" w:color="auto"/>
                      </w:divBdr>
                    </w:div>
                    <w:div w:id="20965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60869">
      <w:bodyDiv w:val="1"/>
      <w:marLeft w:val="0"/>
      <w:marRight w:val="0"/>
      <w:marTop w:val="0"/>
      <w:marBottom w:val="0"/>
      <w:divBdr>
        <w:top w:val="none" w:sz="0" w:space="0" w:color="auto"/>
        <w:left w:val="none" w:sz="0" w:space="0" w:color="auto"/>
        <w:bottom w:val="none" w:sz="0" w:space="0" w:color="auto"/>
        <w:right w:val="none" w:sz="0" w:space="0" w:color="auto"/>
      </w:divBdr>
      <w:divsChild>
        <w:div w:id="1828128018">
          <w:marLeft w:val="0"/>
          <w:marRight w:val="0"/>
          <w:marTop w:val="0"/>
          <w:marBottom w:val="450"/>
          <w:divBdr>
            <w:top w:val="none" w:sz="0" w:space="0" w:color="auto"/>
            <w:left w:val="none" w:sz="0" w:space="0" w:color="auto"/>
            <w:bottom w:val="none" w:sz="0" w:space="0" w:color="auto"/>
            <w:right w:val="none" w:sz="0" w:space="0" w:color="auto"/>
          </w:divBdr>
          <w:divsChild>
            <w:div w:id="1185944463">
              <w:marLeft w:val="0"/>
              <w:marRight w:val="0"/>
              <w:marTop w:val="0"/>
              <w:marBottom w:val="0"/>
              <w:divBdr>
                <w:top w:val="none" w:sz="0" w:space="0" w:color="auto"/>
                <w:left w:val="none" w:sz="0" w:space="0" w:color="auto"/>
                <w:bottom w:val="none" w:sz="0" w:space="0" w:color="auto"/>
                <w:right w:val="none" w:sz="0" w:space="0" w:color="auto"/>
              </w:divBdr>
              <w:divsChild>
                <w:div w:id="20271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2078">
          <w:marLeft w:val="0"/>
          <w:marRight w:val="0"/>
          <w:marTop w:val="0"/>
          <w:marBottom w:val="0"/>
          <w:divBdr>
            <w:top w:val="none" w:sz="0" w:space="0" w:color="auto"/>
            <w:left w:val="none" w:sz="0" w:space="0" w:color="auto"/>
            <w:bottom w:val="none" w:sz="0" w:space="0" w:color="auto"/>
            <w:right w:val="none" w:sz="0" w:space="0" w:color="auto"/>
          </w:divBdr>
          <w:divsChild>
            <w:div w:id="309599148">
              <w:marLeft w:val="0"/>
              <w:marRight w:val="0"/>
              <w:marTop w:val="0"/>
              <w:marBottom w:val="0"/>
              <w:divBdr>
                <w:top w:val="none" w:sz="0" w:space="0" w:color="auto"/>
                <w:left w:val="none" w:sz="0" w:space="0" w:color="auto"/>
                <w:bottom w:val="none" w:sz="0" w:space="0" w:color="auto"/>
                <w:right w:val="none" w:sz="0" w:space="0" w:color="auto"/>
              </w:divBdr>
            </w:div>
          </w:divsChild>
        </w:div>
        <w:div w:id="1310328206">
          <w:marLeft w:val="0"/>
          <w:marRight w:val="0"/>
          <w:marTop w:val="0"/>
          <w:marBottom w:val="450"/>
          <w:divBdr>
            <w:top w:val="none" w:sz="0" w:space="0" w:color="auto"/>
            <w:left w:val="none" w:sz="0" w:space="0" w:color="auto"/>
            <w:bottom w:val="none" w:sz="0" w:space="0" w:color="auto"/>
            <w:right w:val="none" w:sz="0" w:space="0" w:color="auto"/>
          </w:divBdr>
          <w:divsChild>
            <w:div w:id="1481076919">
              <w:marLeft w:val="0"/>
              <w:marRight w:val="0"/>
              <w:marTop w:val="0"/>
              <w:marBottom w:val="0"/>
              <w:divBdr>
                <w:top w:val="none" w:sz="0" w:space="0" w:color="auto"/>
                <w:left w:val="none" w:sz="0" w:space="0" w:color="auto"/>
                <w:bottom w:val="none" w:sz="0" w:space="0" w:color="auto"/>
                <w:right w:val="none" w:sz="0" w:space="0" w:color="auto"/>
              </w:divBdr>
              <w:divsChild>
                <w:div w:id="1672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3886">
      <w:bodyDiv w:val="1"/>
      <w:marLeft w:val="0"/>
      <w:marRight w:val="0"/>
      <w:marTop w:val="0"/>
      <w:marBottom w:val="0"/>
      <w:divBdr>
        <w:top w:val="none" w:sz="0" w:space="0" w:color="auto"/>
        <w:left w:val="none" w:sz="0" w:space="0" w:color="auto"/>
        <w:bottom w:val="none" w:sz="0" w:space="0" w:color="auto"/>
        <w:right w:val="none" w:sz="0" w:space="0" w:color="auto"/>
      </w:divBdr>
    </w:div>
    <w:div w:id="891889098">
      <w:bodyDiv w:val="1"/>
      <w:marLeft w:val="0"/>
      <w:marRight w:val="0"/>
      <w:marTop w:val="0"/>
      <w:marBottom w:val="0"/>
      <w:divBdr>
        <w:top w:val="none" w:sz="0" w:space="0" w:color="auto"/>
        <w:left w:val="none" w:sz="0" w:space="0" w:color="auto"/>
        <w:bottom w:val="none" w:sz="0" w:space="0" w:color="auto"/>
        <w:right w:val="none" w:sz="0" w:space="0" w:color="auto"/>
      </w:divBdr>
      <w:divsChild>
        <w:div w:id="1638341180">
          <w:marLeft w:val="0"/>
          <w:marRight w:val="0"/>
          <w:marTop w:val="0"/>
          <w:marBottom w:val="450"/>
          <w:divBdr>
            <w:top w:val="none" w:sz="0" w:space="0" w:color="auto"/>
            <w:left w:val="none" w:sz="0" w:space="0" w:color="auto"/>
            <w:bottom w:val="none" w:sz="0" w:space="0" w:color="auto"/>
            <w:right w:val="none" w:sz="0" w:space="0" w:color="auto"/>
          </w:divBdr>
          <w:divsChild>
            <w:div w:id="688022054">
              <w:marLeft w:val="0"/>
              <w:marRight w:val="0"/>
              <w:marTop w:val="0"/>
              <w:marBottom w:val="0"/>
              <w:divBdr>
                <w:top w:val="none" w:sz="0" w:space="0" w:color="auto"/>
                <w:left w:val="none" w:sz="0" w:space="0" w:color="auto"/>
                <w:bottom w:val="none" w:sz="0" w:space="0" w:color="auto"/>
                <w:right w:val="none" w:sz="0" w:space="0" w:color="auto"/>
              </w:divBdr>
              <w:divsChild>
                <w:div w:id="19972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600">
          <w:marLeft w:val="0"/>
          <w:marRight w:val="0"/>
          <w:marTop w:val="0"/>
          <w:marBottom w:val="0"/>
          <w:divBdr>
            <w:top w:val="none" w:sz="0" w:space="0" w:color="auto"/>
            <w:left w:val="none" w:sz="0" w:space="0" w:color="auto"/>
            <w:bottom w:val="none" w:sz="0" w:space="0" w:color="auto"/>
            <w:right w:val="none" w:sz="0" w:space="0" w:color="auto"/>
          </w:divBdr>
          <w:divsChild>
            <w:div w:id="2143453032">
              <w:marLeft w:val="0"/>
              <w:marRight w:val="0"/>
              <w:marTop w:val="0"/>
              <w:marBottom w:val="0"/>
              <w:divBdr>
                <w:top w:val="none" w:sz="0" w:space="0" w:color="auto"/>
                <w:left w:val="none" w:sz="0" w:space="0" w:color="auto"/>
                <w:bottom w:val="none" w:sz="0" w:space="0" w:color="auto"/>
                <w:right w:val="none" w:sz="0" w:space="0" w:color="auto"/>
              </w:divBdr>
            </w:div>
          </w:divsChild>
        </w:div>
        <w:div w:id="336151775">
          <w:marLeft w:val="0"/>
          <w:marRight w:val="0"/>
          <w:marTop w:val="0"/>
          <w:marBottom w:val="450"/>
          <w:divBdr>
            <w:top w:val="none" w:sz="0" w:space="0" w:color="auto"/>
            <w:left w:val="none" w:sz="0" w:space="0" w:color="auto"/>
            <w:bottom w:val="none" w:sz="0" w:space="0" w:color="auto"/>
            <w:right w:val="none" w:sz="0" w:space="0" w:color="auto"/>
          </w:divBdr>
          <w:divsChild>
            <w:div w:id="363019412">
              <w:marLeft w:val="0"/>
              <w:marRight w:val="0"/>
              <w:marTop w:val="0"/>
              <w:marBottom w:val="0"/>
              <w:divBdr>
                <w:top w:val="none" w:sz="0" w:space="0" w:color="auto"/>
                <w:left w:val="none" w:sz="0" w:space="0" w:color="auto"/>
                <w:bottom w:val="none" w:sz="0" w:space="0" w:color="auto"/>
                <w:right w:val="none" w:sz="0" w:space="0" w:color="auto"/>
              </w:divBdr>
              <w:divsChild>
                <w:div w:id="13239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8919">
      <w:bodyDiv w:val="1"/>
      <w:marLeft w:val="0"/>
      <w:marRight w:val="0"/>
      <w:marTop w:val="0"/>
      <w:marBottom w:val="0"/>
      <w:divBdr>
        <w:top w:val="none" w:sz="0" w:space="0" w:color="auto"/>
        <w:left w:val="none" w:sz="0" w:space="0" w:color="auto"/>
        <w:bottom w:val="none" w:sz="0" w:space="0" w:color="auto"/>
        <w:right w:val="none" w:sz="0" w:space="0" w:color="auto"/>
      </w:divBdr>
    </w:div>
    <w:div w:id="1034386148">
      <w:bodyDiv w:val="1"/>
      <w:marLeft w:val="0"/>
      <w:marRight w:val="0"/>
      <w:marTop w:val="0"/>
      <w:marBottom w:val="0"/>
      <w:divBdr>
        <w:top w:val="none" w:sz="0" w:space="0" w:color="auto"/>
        <w:left w:val="none" w:sz="0" w:space="0" w:color="auto"/>
        <w:bottom w:val="none" w:sz="0" w:space="0" w:color="auto"/>
        <w:right w:val="none" w:sz="0" w:space="0" w:color="auto"/>
      </w:divBdr>
      <w:divsChild>
        <w:div w:id="1127814875">
          <w:marLeft w:val="0"/>
          <w:marRight w:val="0"/>
          <w:marTop w:val="0"/>
          <w:marBottom w:val="0"/>
          <w:divBdr>
            <w:top w:val="none" w:sz="0" w:space="0" w:color="auto"/>
            <w:left w:val="none" w:sz="0" w:space="0" w:color="auto"/>
            <w:bottom w:val="none" w:sz="0" w:space="0" w:color="auto"/>
            <w:right w:val="none" w:sz="0" w:space="0" w:color="auto"/>
          </w:divBdr>
          <w:divsChild>
            <w:div w:id="1684939580">
              <w:marLeft w:val="0"/>
              <w:marRight w:val="0"/>
              <w:marTop w:val="0"/>
              <w:marBottom w:val="0"/>
              <w:divBdr>
                <w:top w:val="none" w:sz="0" w:space="0" w:color="auto"/>
                <w:left w:val="none" w:sz="0" w:space="0" w:color="auto"/>
                <w:bottom w:val="none" w:sz="0" w:space="0" w:color="auto"/>
                <w:right w:val="none" w:sz="0" w:space="0" w:color="auto"/>
              </w:divBdr>
            </w:div>
          </w:divsChild>
        </w:div>
        <w:div w:id="1924680424">
          <w:marLeft w:val="0"/>
          <w:marRight w:val="0"/>
          <w:marTop w:val="0"/>
          <w:marBottom w:val="450"/>
          <w:divBdr>
            <w:top w:val="none" w:sz="0" w:space="0" w:color="auto"/>
            <w:left w:val="none" w:sz="0" w:space="0" w:color="auto"/>
            <w:bottom w:val="none" w:sz="0" w:space="0" w:color="auto"/>
            <w:right w:val="none" w:sz="0" w:space="0" w:color="auto"/>
          </w:divBdr>
          <w:divsChild>
            <w:div w:id="1630159523">
              <w:marLeft w:val="0"/>
              <w:marRight w:val="0"/>
              <w:marTop w:val="0"/>
              <w:marBottom w:val="0"/>
              <w:divBdr>
                <w:top w:val="none" w:sz="0" w:space="0" w:color="auto"/>
                <w:left w:val="none" w:sz="0" w:space="0" w:color="auto"/>
                <w:bottom w:val="none" w:sz="0" w:space="0" w:color="auto"/>
                <w:right w:val="none" w:sz="0" w:space="0" w:color="auto"/>
              </w:divBdr>
              <w:divsChild>
                <w:div w:id="1104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3934">
      <w:bodyDiv w:val="1"/>
      <w:marLeft w:val="0"/>
      <w:marRight w:val="0"/>
      <w:marTop w:val="0"/>
      <w:marBottom w:val="0"/>
      <w:divBdr>
        <w:top w:val="none" w:sz="0" w:space="0" w:color="auto"/>
        <w:left w:val="none" w:sz="0" w:space="0" w:color="auto"/>
        <w:bottom w:val="none" w:sz="0" w:space="0" w:color="auto"/>
        <w:right w:val="none" w:sz="0" w:space="0" w:color="auto"/>
      </w:divBdr>
      <w:divsChild>
        <w:div w:id="1969124070">
          <w:marLeft w:val="0"/>
          <w:marRight w:val="0"/>
          <w:marTop w:val="0"/>
          <w:marBottom w:val="0"/>
          <w:divBdr>
            <w:top w:val="none" w:sz="0" w:space="0" w:color="auto"/>
            <w:left w:val="none" w:sz="0" w:space="0" w:color="auto"/>
            <w:bottom w:val="none" w:sz="0" w:space="0" w:color="auto"/>
            <w:right w:val="none" w:sz="0" w:space="0" w:color="auto"/>
          </w:divBdr>
          <w:divsChild>
            <w:div w:id="1894999777">
              <w:marLeft w:val="0"/>
              <w:marRight w:val="0"/>
              <w:marTop w:val="0"/>
              <w:marBottom w:val="0"/>
              <w:divBdr>
                <w:top w:val="none" w:sz="0" w:space="0" w:color="auto"/>
                <w:left w:val="none" w:sz="0" w:space="0" w:color="auto"/>
                <w:bottom w:val="none" w:sz="0" w:space="0" w:color="auto"/>
                <w:right w:val="none" w:sz="0" w:space="0" w:color="auto"/>
              </w:divBdr>
            </w:div>
          </w:divsChild>
        </w:div>
        <w:div w:id="1178815228">
          <w:marLeft w:val="0"/>
          <w:marRight w:val="0"/>
          <w:marTop w:val="0"/>
          <w:marBottom w:val="450"/>
          <w:divBdr>
            <w:top w:val="none" w:sz="0" w:space="0" w:color="auto"/>
            <w:left w:val="none" w:sz="0" w:space="0" w:color="auto"/>
            <w:bottom w:val="none" w:sz="0" w:space="0" w:color="auto"/>
            <w:right w:val="none" w:sz="0" w:space="0" w:color="auto"/>
          </w:divBdr>
          <w:divsChild>
            <w:div w:id="286467817">
              <w:marLeft w:val="0"/>
              <w:marRight w:val="0"/>
              <w:marTop w:val="0"/>
              <w:marBottom w:val="0"/>
              <w:divBdr>
                <w:top w:val="none" w:sz="0" w:space="0" w:color="auto"/>
                <w:left w:val="none" w:sz="0" w:space="0" w:color="auto"/>
                <w:bottom w:val="none" w:sz="0" w:space="0" w:color="auto"/>
                <w:right w:val="none" w:sz="0" w:space="0" w:color="auto"/>
              </w:divBdr>
              <w:divsChild>
                <w:div w:id="13851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a.gov/funding-programs/loans/covid-19-relief-options/restaurant-revitalization-fund" TargetMode="External"/><Relationship Id="rId5" Type="http://schemas.openxmlformats.org/officeDocument/2006/relationships/hyperlink" Target="https://www.sba.gov/funding-programs/loans/covid-19-relief-options/restaurant-revitalization-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Drew Davis</cp:lastModifiedBy>
  <cp:revision>2</cp:revision>
  <cp:lastPrinted>2021-04-28T19:05:00Z</cp:lastPrinted>
  <dcterms:created xsi:type="dcterms:W3CDTF">2021-05-03T18:06:00Z</dcterms:created>
  <dcterms:modified xsi:type="dcterms:W3CDTF">2021-05-03T18:06:00Z</dcterms:modified>
</cp:coreProperties>
</file>